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FF6A" w14:textId="132227ED" w:rsidR="004970DC" w:rsidRDefault="00BD730E" w:rsidP="004970DC">
      <w:pPr>
        <w:spacing w:after="324"/>
        <w:rPr>
          <w:rFonts w:ascii="Open Sans" w:eastAsia="Open Sans" w:hAnsi="Open Sans" w:cs="Open Sans"/>
          <w:b/>
          <w:sz w:val="20"/>
        </w:rPr>
      </w:pPr>
      <w:r w:rsidRPr="00BD730E">
        <w:rPr>
          <w:rFonts w:ascii="Vafle VUT" w:eastAsia="Vafle VUT" w:hAnsi="Vafle VUT" w:cs="Vafle VUT"/>
          <w:sz w:val="60"/>
        </w:rPr>
        <w:t xml:space="preserve">Participativní bydlení – Brno, Bohunice </w:t>
      </w:r>
      <w:r w:rsidR="002D3F3B" w:rsidRPr="002D3F3B">
        <w:rPr>
          <w:rFonts w:ascii="Open Sans" w:eastAsia="Open Sans" w:hAnsi="Open Sans" w:cs="Open Sans"/>
          <w:b/>
          <w:sz w:val="20"/>
        </w:rPr>
        <w:t xml:space="preserve">Instalace architektonických modelů, skic i koláží představuje nové koncepce bydlení pro 21. století. Expozice vznikla na základě unikátní mezinárodní spolupráce pěti univerzit, 42 studentů, 10 pedagogů, barcelonského studia </w:t>
      </w:r>
      <w:proofErr w:type="spellStart"/>
      <w:r w:rsidR="002D3F3B" w:rsidRPr="002D3F3B">
        <w:rPr>
          <w:rFonts w:ascii="Open Sans" w:eastAsia="Open Sans" w:hAnsi="Open Sans" w:cs="Open Sans"/>
          <w:b/>
          <w:sz w:val="20"/>
        </w:rPr>
        <w:t>self-office</w:t>
      </w:r>
      <w:proofErr w:type="spellEnd"/>
      <w:r w:rsidR="002D3F3B" w:rsidRPr="002D3F3B">
        <w:rPr>
          <w:rFonts w:ascii="Open Sans" w:eastAsia="Open Sans" w:hAnsi="Open Sans" w:cs="Open Sans"/>
          <w:b/>
          <w:sz w:val="20"/>
        </w:rPr>
        <w:t xml:space="preserve">, Galerie VIPER a platformy LINA </w:t>
      </w:r>
      <w:proofErr w:type="spellStart"/>
      <w:r w:rsidR="002D3F3B" w:rsidRPr="002D3F3B">
        <w:rPr>
          <w:rFonts w:ascii="Open Sans" w:eastAsia="Open Sans" w:hAnsi="Open Sans" w:cs="Open Sans"/>
          <w:b/>
          <w:sz w:val="20"/>
        </w:rPr>
        <w:t>Community</w:t>
      </w:r>
      <w:proofErr w:type="spellEnd"/>
      <w:r w:rsidR="002D3F3B" w:rsidRPr="002D3F3B">
        <w:rPr>
          <w:rFonts w:ascii="Open Sans" w:eastAsia="Open Sans" w:hAnsi="Open Sans" w:cs="Open Sans"/>
          <w:b/>
          <w:sz w:val="20"/>
        </w:rPr>
        <w:t>. Studenti během týdenního workshopu navrhli neotřelé a svěží formy bydlení na území brněnských Bohunicích. Výstava s názvem Participativní bydlení – Brno, Bohunice se otevře v sobotu 18.3.2023 v 17:00 v Galerii MINI na půdě fakulty architektury.</w:t>
      </w:r>
    </w:p>
    <w:p w14:paraId="36D54D97" w14:textId="1FC25537" w:rsidR="000214B8" w:rsidRDefault="000F049F" w:rsidP="0068587C">
      <w:pPr>
        <w:spacing w:after="324"/>
        <w:jc w:val="center"/>
      </w:pPr>
      <w:r>
        <w:rPr>
          <w:noProof/>
        </w:rPr>
        <w:drawing>
          <wp:inline distT="0" distB="0" distL="0" distR="0" wp14:anchorId="1BFDCA52" wp14:editId="4A3863D4">
            <wp:extent cx="3600000" cy="2397116"/>
            <wp:effectExtent l="0" t="0" r="63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936F871" w14:textId="77777777" w:rsidR="002607B8" w:rsidRDefault="002D3F3B" w:rsidP="002D3F3B">
      <w:pPr>
        <w:rPr>
          <w:rFonts w:ascii="Open Sans" w:eastAsia="Times New Roman" w:hAnsi="Open Sans" w:cs="Open Sans"/>
          <w:color w:val="auto"/>
        </w:rPr>
      </w:pPr>
      <w:r w:rsidRPr="002D3F3B">
        <w:rPr>
          <w:rFonts w:ascii="Open Sans" w:eastAsia="Times New Roman" w:hAnsi="Open Sans" w:cs="Open Sans"/>
          <w:color w:val="auto"/>
        </w:rPr>
        <w:t>Participativní bydlení znamená širokou škálu a míru aktivního zapojení obyvatel do přípravy, užívání a správy bydlení. Cílem workshopu bylo vytvořit obytný komplex nesoucí se v duchu participace. Hlavní téma společné kooperace promítlo nejen do samotných návrhů, ale také do skupinové práce při navrhování.</w:t>
      </w:r>
    </w:p>
    <w:p w14:paraId="7503CFF0" w14:textId="3CE5C17F" w:rsidR="002D3F3B" w:rsidRDefault="002607B8" w:rsidP="002607B8">
      <w:pPr>
        <w:jc w:val="center"/>
        <w:rPr>
          <w:rFonts w:ascii="Open Sans" w:eastAsia="Times New Roman" w:hAnsi="Open Sans" w:cs="Open Sans"/>
          <w:color w:val="auto"/>
        </w:rPr>
      </w:pPr>
      <w:r>
        <w:rPr>
          <w:rFonts w:ascii="Open Sans" w:eastAsia="Times New Roman" w:hAnsi="Open Sans" w:cs="Open Sans"/>
          <w:noProof/>
        </w:rPr>
        <w:drawing>
          <wp:inline distT="0" distB="0" distL="0" distR="0" wp14:anchorId="78DB1742" wp14:editId="081827E1">
            <wp:extent cx="3600000" cy="2397116"/>
            <wp:effectExtent l="0" t="0" r="63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D4FEF33" w14:textId="77777777" w:rsidR="002D3F3B" w:rsidRPr="002D3F3B" w:rsidRDefault="002D3F3B" w:rsidP="000F049F">
      <w:pPr>
        <w:rPr>
          <w:rFonts w:ascii="Open Sans" w:eastAsia="Times New Roman" w:hAnsi="Open Sans" w:cs="Open Sans"/>
          <w:color w:val="auto"/>
        </w:rPr>
      </w:pPr>
      <w:r w:rsidRPr="002D3F3B">
        <w:rPr>
          <w:rFonts w:ascii="Open Sans" w:eastAsia="Times New Roman" w:hAnsi="Open Sans" w:cs="Open Sans"/>
          <w:color w:val="auto"/>
        </w:rPr>
        <w:t>Lektoři workshopu:</w:t>
      </w:r>
    </w:p>
    <w:p w14:paraId="6489F554" w14:textId="77777777" w:rsidR="002607B8" w:rsidRDefault="002D3F3B" w:rsidP="002D3F3B">
      <w:pPr>
        <w:rPr>
          <w:rFonts w:ascii="Open Sans" w:eastAsia="Times New Roman" w:hAnsi="Open Sans" w:cs="Open Sans"/>
          <w:noProof/>
        </w:rPr>
      </w:pPr>
      <w:r w:rsidRPr="002D3F3B">
        <w:rPr>
          <w:rFonts w:ascii="Open Sans" w:eastAsia="Times New Roman" w:hAnsi="Open Sans" w:cs="Open Sans"/>
          <w:color w:val="auto"/>
        </w:rPr>
        <w:t xml:space="preserve">Laura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Solsona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a Eduard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Fernàndez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self-office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); Radek Toman, Kristina Richter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Adamson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Radek Suchánek (Fakulta architektury VUT v Brně); Elsa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Turkusic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Isra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Tatlic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Sarajevo); Igor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Kuvac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Nevena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Novakovic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Maja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Ilic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for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Civil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lastRenderedPageBreak/>
        <w:t>Engineering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and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Geodesy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Banja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Luka);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Anica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Draganic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Maria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Siladji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Technical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Sciences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Department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and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Urbanism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Novi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Sad);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Slavica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Stamatovic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Vuckovic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Faculty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Architecture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Montenegro</w:t>
      </w:r>
      <w:proofErr w:type="spellEnd"/>
      <w:r w:rsidRPr="002D3F3B">
        <w:rPr>
          <w:rFonts w:ascii="Open Sans" w:eastAsia="Times New Roman" w:hAnsi="Open Sans" w:cs="Open Sans"/>
          <w:color w:val="auto"/>
        </w:rPr>
        <w:t>)</w:t>
      </w:r>
      <w:r w:rsidR="000F049F" w:rsidRPr="000F049F">
        <w:rPr>
          <w:rFonts w:ascii="Open Sans" w:eastAsia="Times New Roman" w:hAnsi="Open Sans" w:cs="Open Sans"/>
          <w:noProof/>
        </w:rPr>
        <w:t xml:space="preserve"> </w:t>
      </w:r>
      <w:r w:rsidR="000F049F">
        <w:rPr>
          <w:rFonts w:ascii="Open Sans" w:eastAsia="Times New Roman" w:hAnsi="Open Sans" w:cs="Open Sans"/>
          <w:noProof/>
        </w:rPr>
        <w:br/>
      </w:r>
    </w:p>
    <w:p w14:paraId="5270EC19" w14:textId="787CBDCA" w:rsidR="002D3F3B" w:rsidRPr="002607B8" w:rsidRDefault="002D3F3B" w:rsidP="002D3F3B">
      <w:pPr>
        <w:rPr>
          <w:rFonts w:ascii="Open Sans" w:eastAsia="Times New Roman" w:hAnsi="Open Sans" w:cs="Open Sans"/>
          <w:noProof/>
        </w:rPr>
      </w:pPr>
      <w:r w:rsidRPr="002D3F3B">
        <w:rPr>
          <w:rFonts w:ascii="Open Sans" w:eastAsia="Times New Roman" w:hAnsi="Open Sans" w:cs="Open Sans"/>
          <w:color w:val="auto"/>
        </w:rPr>
        <w:t xml:space="preserve">Účastníci workshopu: </w:t>
      </w:r>
    </w:p>
    <w:p w14:paraId="511E615C" w14:textId="77777777" w:rsidR="002D3F3B" w:rsidRPr="002D3F3B" w:rsidRDefault="002D3F3B" w:rsidP="002D3F3B">
      <w:pPr>
        <w:rPr>
          <w:rFonts w:ascii="Open Sans" w:eastAsia="Times New Roman" w:hAnsi="Open Sans" w:cs="Open Sans"/>
          <w:color w:val="auto"/>
        </w:rPr>
      </w:pPr>
      <w:r w:rsidRPr="002D3F3B">
        <w:rPr>
          <w:rFonts w:ascii="Open Sans" w:eastAsia="Times New Roman" w:hAnsi="Open Sans" w:cs="Open Sans"/>
          <w:color w:val="auto"/>
        </w:rPr>
        <w:t xml:space="preserve">Anna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Divoková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Eva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Gebhardtová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Adam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Helbich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Daniel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Chowaniec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Charlotte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Chupáčová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Violetta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Iakubova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Kamila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Kněbortová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Aneta Koželuhová, Helena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Kukuľová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Alžběta Nešporová, Anežka Ondračková, Kateřina Syrovátková, Vojtěch Zajíček, Veronika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Zytová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(Fakulta architektury VUT v Brně);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Belkisa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Arapović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Halima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Avdić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Hena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Begović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Suada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Čamdžić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Dalibor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Jakić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Armin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Karalić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Haris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Kozlica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Marija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Sarajevo); Marko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Djuric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Jovana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Kruščić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Jana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Mitrović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Nina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Nikolić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Marijana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Rovčanin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Aleksandra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Vešović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Lejla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Višnjić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Ilinka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Lalatovic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Montenegro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); Jovan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Bajic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Nina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Čegar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Teodora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Jokšić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Isidora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Ratajac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Dajana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Stegic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(University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Novi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Sad); Branka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Jakovljević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Andrea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Jeremić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Dragoljub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Kopranović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Nemanja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Željana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Popović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,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Rastko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Sinadinović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(University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of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Pr="002D3F3B">
        <w:rPr>
          <w:rFonts w:ascii="Open Sans" w:eastAsia="Times New Roman" w:hAnsi="Open Sans" w:cs="Open Sans"/>
          <w:color w:val="auto"/>
        </w:rPr>
        <w:t>Banja</w:t>
      </w:r>
      <w:proofErr w:type="spellEnd"/>
      <w:r w:rsidRPr="002D3F3B">
        <w:rPr>
          <w:rFonts w:ascii="Open Sans" w:eastAsia="Times New Roman" w:hAnsi="Open Sans" w:cs="Open Sans"/>
          <w:color w:val="auto"/>
        </w:rPr>
        <w:t xml:space="preserve"> Luka)</w:t>
      </w:r>
    </w:p>
    <w:p w14:paraId="1589DDF1" w14:textId="1B95769A" w:rsidR="002D3F3B" w:rsidRDefault="002D3F3B" w:rsidP="002D3F3B">
      <w:pPr>
        <w:rPr>
          <w:rFonts w:ascii="Open Sans" w:eastAsia="Times New Roman" w:hAnsi="Open Sans" w:cs="Open Sans"/>
          <w:color w:val="auto"/>
        </w:rPr>
      </w:pPr>
      <w:r w:rsidRPr="002D3F3B">
        <w:rPr>
          <w:rFonts w:ascii="Open Sans" w:eastAsia="Times New Roman" w:hAnsi="Open Sans" w:cs="Open Sans"/>
          <w:color w:val="auto"/>
        </w:rPr>
        <w:t>Výstava bude k vidění do 7. dubna 2023, Poříčí 5, 639 00 Brno</w:t>
      </w:r>
    </w:p>
    <w:p w14:paraId="4FF3B8AD" w14:textId="77777777" w:rsidR="002607B8" w:rsidRPr="002D3F3B" w:rsidRDefault="002607B8" w:rsidP="002D3F3B">
      <w:pPr>
        <w:rPr>
          <w:rFonts w:ascii="Open Sans" w:eastAsia="Times New Roman" w:hAnsi="Open Sans" w:cs="Open Sans"/>
          <w:color w:val="auto"/>
        </w:rPr>
      </w:pPr>
      <w:bookmarkStart w:id="0" w:name="_GoBack"/>
      <w:bookmarkEnd w:id="0"/>
    </w:p>
    <w:p w14:paraId="6F39D67C" w14:textId="4F69D800" w:rsidR="002D3F3B" w:rsidRPr="002D3F3B" w:rsidRDefault="002D3F3B" w:rsidP="002D3F3B">
      <w:pPr>
        <w:jc w:val="center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  <w:noProof/>
        </w:rPr>
        <w:drawing>
          <wp:inline distT="0" distB="0" distL="0" distR="0" wp14:anchorId="07D9B7C2" wp14:editId="466B37D0">
            <wp:extent cx="3599815" cy="2397125"/>
            <wp:effectExtent l="0" t="0" r="63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7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3FB33B1" w14:textId="77777777" w:rsidR="002D3F3B" w:rsidRPr="002D3F3B" w:rsidRDefault="002D3F3B" w:rsidP="002D3F3B">
      <w:pPr>
        <w:rPr>
          <w:rFonts w:ascii="Open Sans" w:eastAsia="Times New Roman" w:hAnsi="Open Sans" w:cs="Open Sans"/>
        </w:rPr>
      </w:pPr>
    </w:p>
    <w:sectPr w:rsidR="002D3F3B" w:rsidRPr="002D3F3B" w:rsidSect="00D15BB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630" w:right="763" w:bottom="709" w:left="720" w:header="25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DD71" w14:textId="77777777" w:rsidR="00F851A6" w:rsidRDefault="00E90745">
      <w:pPr>
        <w:spacing w:after="0" w:line="240" w:lineRule="auto"/>
      </w:pPr>
      <w:r>
        <w:separator/>
      </w:r>
    </w:p>
  </w:endnote>
  <w:endnote w:type="continuationSeparator" w:id="0">
    <w:p w14:paraId="487F18D5" w14:textId="77777777" w:rsidR="00F851A6" w:rsidRDefault="00E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CA36" w14:textId="1B8591B8" w:rsidR="001100E9" w:rsidRPr="002D3F3B" w:rsidRDefault="002D3F3B" w:rsidP="002D3F3B">
    <w:pPr>
      <w:pStyle w:val="Zpat"/>
      <w:jc w:val="center"/>
    </w:pPr>
    <w:r w:rsidRPr="002D3F3B">
      <w:rPr>
        <w:rFonts w:ascii="Open Sans" w:eastAsia="Times New Roman" w:hAnsi="Open Sans" w:cs="Open Sans"/>
        <w:color w:val="auto"/>
        <w:sz w:val="16"/>
        <w:szCs w:val="16"/>
      </w:rPr>
      <w:t xml:space="preserve">Projekt vznikl ve spolupráci s LINA </w:t>
    </w:r>
    <w:proofErr w:type="spellStart"/>
    <w:r w:rsidRPr="002D3F3B">
      <w:rPr>
        <w:rFonts w:ascii="Open Sans" w:eastAsia="Times New Roman" w:hAnsi="Open Sans" w:cs="Open Sans"/>
        <w:color w:val="auto"/>
        <w:sz w:val="16"/>
        <w:szCs w:val="16"/>
      </w:rPr>
      <w:t>community</w:t>
    </w:r>
    <w:proofErr w:type="spellEnd"/>
    <w:r w:rsidRPr="002D3F3B">
      <w:rPr>
        <w:rFonts w:ascii="Open Sans" w:eastAsia="Times New Roman" w:hAnsi="Open Sans" w:cs="Open Sans"/>
        <w:color w:val="auto"/>
        <w:sz w:val="16"/>
        <w:szCs w:val="16"/>
      </w:rPr>
      <w:t xml:space="preserve"> a Galerií VIPER. Projekt je součástí (meziuniverzitního) výzkumného projektu s názvem "Možnosti a limity participativního bydlení v České republice".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C42A" w14:textId="77777777" w:rsidR="00F851A6" w:rsidRDefault="00E90745">
      <w:pPr>
        <w:spacing w:after="0" w:line="240" w:lineRule="auto"/>
      </w:pPr>
      <w:r>
        <w:separator/>
      </w:r>
    </w:p>
  </w:footnote>
  <w:footnote w:type="continuationSeparator" w:id="0">
    <w:p w14:paraId="41B82815" w14:textId="77777777" w:rsidR="00F851A6" w:rsidRDefault="00E9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01D9D63E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2D3F3B">
      <w:rPr>
        <w:rFonts w:ascii="Vafle VUT" w:eastAsia="Vafle VUT" w:hAnsi="Vafle VUT" w:cs="Vafle VUT"/>
        <w:sz w:val="96"/>
      </w:rPr>
      <w:t>MINI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214B8"/>
    <w:rsid w:val="000F049F"/>
    <w:rsid w:val="001100E9"/>
    <w:rsid w:val="002607B8"/>
    <w:rsid w:val="002D3F3B"/>
    <w:rsid w:val="004970DC"/>
    <w:rsid w:val="0068587C"/>
    <w:rsid w:val="00BD730E"/>
    <w:rsid w:val="00D15BBC"/>
    <w:rsid w:val="00E90745"/>
    <w:rsid w:val="00F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Props1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5E127-5AE1-4E5A-A8C7-5C4B9B496A08}">
  <ds:schemaRefs>
    <ds:schemaRef ds:uri="http://purl.org/dc/dcmitype/"/>
    <ds:schemaRef ds:uri="http://schemas.microsoft.com/office/2006/documentManagement/types"/>
    <ds:schemaRef ds:uri="http://purl.org/dc/terms/"/>
    <ds:schemaRef ds:uri="25bc5a6d-6835-4183-ae21-f954dc7101d0"/>
    <ds:schemaRef ds:uri="http://schemas.microsoft.com/office/infopath/2007/PartnerControls"/>
    <ds:schemaRef ds:uri="http://schemas.openxmlformats.org/package/2006/metadata/core-properties"/>
    <ds:schemaRef ds:uri="d91059b1-7c17-40b4-8a95-6df15441307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2055</Characters>
  <Application>Microsoft Office Word</Application>
  <DocSecurity>0</DocSecurity>
  <Lines>34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5</cp:revision>
  <cp:lastPrinted>2023-03-06T15:32:00Z</cp:lastPrinted>
  <dcterms:created xsi:type="dcterms:W3CDTF">2023-03-17T16:25:00Z</dcterms:created>
  <dcterms:modified xsi:type="dcterms:W3CDTF">2023-03-17T16:39:00Z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