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46531" w14:textId="77777777" w:rsidR="004970DC" w:rsidRDefault="004970DC">
      <w:pPr>
        <w:spacing w:after="88" w:line="260" w:lineRule="auto"/>
        <w:rPr>
          <w:rFonts w:ascii="Vafle VUT" w:eastAsia="Vafle VUT" w:hAnsi="Vafle VUT" w:cs="Vafle VUT"/>
          <w:sz w:val="60"/>
        </w:rPr>
      </w:pPr>
      <w:r w:rsidRPr="004970DC">
        <w:rPr>
          <w:rFonts w:ascii="Vafle VUT" w:eastAsia="Vafle VUT" w:hAnsi="Vafle VUT" w:cs="Vafle VUT"/>
          <w:sz w:val="60"/>
        </w:rPr>
        <w:t xml:space="preserve">Výstava </w:t>
      </w:r>
      <w:proofErr w:type="spellStart"/>
      <w:r w:rsidRPr="004970DC">
        <w:rPr>
          <w:rFonts w:ascii="Vafle VUT" w:eastAsia="Vafle VUT" w:hAnsi="Vafle VUT" w:cs="Vafle VUT"/>
          <w:sz w:val="60"/>
        </w:rPr>
        <w:t>Pawnshops</w:t>
      </w:r>
      <w:proofErr w:type="spellEnd"/>
      <w:r w:rsidRPr="004970DC">
        <w:rPr>
          <w:rFonts w:ascii="Vafle VUT" w:eastAsia="Vafle VUT" w:hAnsi="Vafle VUT" w:cs="Vafle VUT"/>
          <w:sz w:val="60"/>
        </w:rPr>
        <w:t xml:space="preserve"> nastavuje obr</w:t>
      </w:r>
      <w:bookmarkStart w:id="0" w:name="_GoBack"/>
      <w:bookmarkEnd w:id="0"/>
      <w:r w:rsidRPr="004970DC">
        <w:rPr>
          <w:rFonts w:ascii="Vafle VUT" w:eastAsia="Vafle VUT" w:hAnsi="Vafle VUT" w:cs="Vafle VUT"/>
          <w:sz w:val="60"/>
        </w:rPr>
        <w:t>az společnosti prostřednictvím zastaváren</w:t>
      </w:r>
    </w:p>
    <w:p w14:paraId="2F6AFF6A" w14:textId="032FD3FC" w:rsidR="004970DC" w:rsidRDefault="004970DC" w:rsidP="004970DC">
      <w:pPr>
        <w:spacing w:after="324"/>
        <w:rPr>
          <w:rFonts w:ascii="Open Sans" w:eastAsia="Open Sans" w:hAnsi="Open Sans" w:cs="Open Sans"/>
          <w:b/>
          <w:sz w:val="20"/>
        </w:rPr>
      </w:pPr>
      <w:r w:rsidRPr="004970DC">
        <w:rPr>
          <w:rFonts w:ascii="Open Sans" w:eastAsia="Open Sans" w:hAnsi="Open Sans" w:cs="Open Sans"/>
          <w:b/>
          <w:sz w:val="20"/>
        </w:rPr>
        <w:t xml:space="preserve">Zastavárny a obchody s bazarovými </w:t>
      </w:r>
      <w:r w:rsidRPr="0068587C">
        <w:rPr>
          <w:rFonts w:ascii="Open Sans" w:eastAsia="Open Sans" w:hAnsi="Open Sans" w:cs="Open Sans"/>
          <w:b/>
          <w:sz w:val="20"/>
        </w:rPr>
        <w:t xml:space="preserve">věcmi </w:t>
      </w:r>
      <w:r w:rsidR="0068587C" w:rsidRPr="0068587C">
        <w:rPr>
          <w:rFonts w:ascii="Open Sans" w:eastAsia="Open Sans" w:hAnsi="Open Sans" w:cs="Open Sans"/>
          <w:b/>
          <w:sz w:val="20"/>
        </w:rPr>
        <w:t>potkává</w:t>
      </w:r>
      <w:r w:rsidRPr="0068587C">
        <w:rPr>
          <w:rFonts w:ascii="Open Sans" w:eastAsia="Open Sans" w:hAnsi="Open Sans" w:cs="Open Sans"/>
          <w:b/>
          <w:sz w:val="20"/>
        </w:rPr>
        <w:t>me</w:t>
      </w:r>
      <w:r w:rsidRPr="004970DC">
        <w:rPr>
          <w:rFonts w:ascii="Open Sans" w:eastAsia="Open Sans" w:hAnsi="Open Sans" w:cs="Open Sans"/>
          <w:b/>
          <w:sz w:val="20"/>
        </w:rPr>
        <w:t xml:space="preserve"> v každém městě. V těchto </w:t>
      </w:r>
      <w:r w:rsidRPr="0068587C">
        <w:rPr>
          <w:rFonts w:ascii="Open Sans" w:eastAsia="Open Sans" w:hAnsi="Open Sans" w:cs="Open Sans"/>
          <w:b/>
          <w:sz w:val="20"/>
        </w:rPr>
        <w:t>krámcích nacházíme</w:t>
      </w:r>
      <w:r w:rsidRPr="004970DC">
        <w:rPr>
          <w:rFonts w:ascii="Open Sans" w:eastAsia="Open Sans" w:hAnsi="Open Sans" w:cs="Open Sans"/>
          <w:b/>
          <w:sz w:val="20"/>
        </w:rPr>
        <w:t xml:space="preserve"> nejen věci k použití, ale také paměti a vzpomínky. Výstava </w:t>
      </w:r>
      <w:proofErr w:type="spellStart"/>
      <w:r w:rsidRPr="004970DC">
        <w:rPr>
          <w:rFonts w:ascii="Open Sans" w:eastAsia="Open Sans" w:hAnsi="Open Sans" w:cs="Open Sans"/>
          <w:b/>
          <w:sz w:val="20"/>
        </w:rPr>
        <w:t>Pawnshops</w:t>
      </w:r>
      <w:proofErr w:type="spellEnd"/>
      <w:r w:rsidRPr="004970DC">
        <w:rPr>
          <w:rFonts w:ascii="Open Sans" w:eastAsia="Open Sans" w:hAnsi="Open Sans" w:cs="Open Sans"/>
          <w:b/>
          <w:sz w:val="20"/>
        </w:rPr>
        <w:t xml:space="preserve">: Místa okrajové ekonomiky Prokopa Matěje v Galerii 45 000 l: Objem pro angažovanou architekturu přibližuje kulturu a význam zastaváren. Vernisáž výstavy proběhne v úterý 7. března v 18:00. V rámci Brno Art </w:t>
      </w:r>
      <w:proofErr w:type="spellStart"/>
      <w:r w:rsidRPr="004970DC">
        <w:rPr>
          <w:rFonts w:ascii="Open Sans" w:eastAsia="Open Sans" w:hAnsi="Open Sans" w:cs="Open Sans"/>
          <w:b/>
          <w:sz w:val="20"/>
        </w:rPr>
        <w:t>Weeku</w:t>
      </w:r>
      <w:proofErr w:type="spellEnd"/>
      <w:r w:rsidRPr="004970DC">
        <w:rPr>
          <w:rFonts w:ascii="Open Sans" w:eastAsia="Open Sans" w:hAnsi="Open Sans" w:cs="Open Sans"/>
          <w:b/>
          <w:sz w:val="20"/>
        </w:rPr>
        <w:t xml:space="preserve"> proběhne v</w:t>
      </w:r>
      <w:r w:rsidR="0068587C">
        <w:rPr>
          <w:rFonts w:ascii="Open Sans" w:eastAsia="Open Sans" w:hAnsi="Open Sans" w:cs="Open Sans"/>
          <w:b/>
          <w:sz w:val="20"/>
        </w:rPr>
        <w:t> </w:t>
      </w:r>
      <w:r w:rsidRPr="004970DC">
        <w:rPr>
          <w:rFonts w:ascii="Open Sans" w:eastAsia="Open Sans" w:hAnsi="Open Sans" w:cs="Open Sans"/>
          <w:b/>
          <w:sz w:val="20"/>
        </w:rPr>
        <w:t>neděli 23. dubna 2023 od 15:00 komentovaná procházka po brněnských zastavárnách. Expozice bude k</w:t>
      </w:r>
      <w:r w:rsidR="0068587C">
        <w:rPr>
          <w:rFonts w:ascii="Open Sans" w:eastAsia="Open Sans" w:hAnsi="Open Sans" w:cs="Open Sans"/>
          <w:b/>
          <w:sz w:val="20"/>
        </w:rPr>
        <w:t> </w:t>
      </w:r>
      <w:r w:rsidRPr="004970DC">
        <w:rPr>
          <w:rFonts w:ascii="Open Sans" w:eastAsia="Open Sans" w:hAnsi="Open Sans" w:cs="Open Sans"/>
          <w:b/>
          <w:sz w:val="20"/>
        </w:rPr>
        <w:t xml:space="preserve">vidění do 13. května. </w:t>
      </w:r>
    </w:p>
    <w:p w14:paraId="36D54D97" w14:textId="650D125B" w:rsidR="000214B8" w:rsidRDefault="00D15BBC" w:rsidP="0068587C">
      <w:pPr>
        <w:spacing w:after="324"/>
        <w:jc w:val="center"/>
      </w:pPr>
      <w:r>
        <w:rPr>
          <w:noProof/>
        </w:rPr>
        <w:drawing>
          <wp:inline distT="0" distB="0" distL="0" distR="0" wp14:anchorId="3FB811BE" wp14:editId="6FEE9FA0">
            <wp:extent cx="3600000" cy="1881056"/>
            <wp:effectExtent l="0" t="0" r="63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810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8B02D89" w14:textId="63CC31B9" w:rsidR="00D15BBC" w:rsidRPr="00D15BBC" w:rsidRDefault="00D15BBC" w:rsidP="00D15BBC">
      <w:pPr>
        <w:spacing w:after="161"/>
        <w:rPr>
          <w:rFonts w:ascii="Open Sans" w:eastAsia="Times New Roman" w:hAnsi="Open Sans" w:cs="Open Sans"/>
          <w:color w:val="auto"/>
          <w:sz w:val="24"/>
          <w:szCs w:val="24"/>
        </w:rPr>
      </w:pPr>
      <w:r w:rsidRPr="00965EF8">
        <w:rPr>
          <w:rFonts w:ascii="Open Sans" w:eastAsia="Times New Roman" w:hAnsi="Open Sans" w:cs="Open Sans"/>
          <w:color w:val="auto"/>
        </w:rPr>
        <w:t>První letošní výstava</w:t>
      </w:r>
      <w:r w:rsidRPr="00D15BBC">
        <w:rPr>
          <w:rFonts w:ascii="Open Sans" w:eastAsia="Times New Roman" w:hAnsi="Open Sans" w:cs="Open Sans"/>
          <w:color w:val="auto"/>
        </w:rPr>
        <w:t xml:space="preserve"> v Galerii 45 000 l: Objem pro angažovanou architekturu</w:t>
      </w:r>
      <w:r w:rsidRPr="00965EF8">
        <w:rPr>
          <w:rFonts w:ascii="Open Sans" w:eastAsia="Times New Roman" w:hAnsi="Open Sans" w:cs="Open Sans"/>
          <w:color w:val="auto"/>
        </w:rPr>
        <w:t xml:space="preserve"> rozvíjí ateliérovou práci Prokopa Matěje, zpracovanou na Delft University </w:t>
      </w:r>
      <w:proofErr w:type="spellStart"/>
      <w:r w:rsidRPr="00965EF8">
        <w:rPr>
          <w:rFonts w:ascii="Open Sans" w:eastAsia="Times New Roman" w:hAnsi="Open Sans" w:cs="Open Sans"/>
          <w:color w:val="auto"/>
        </w:rPr>
        <w:t>of</w:t>
      </w:r>
      <w:proofErr w:type="spellEnd"/>
      <w:r w:rsidRPr="00965EF8">
        <w:rPr>
          <w:rFonts w:ascii="Open Sans" w:eastAsia="Times New Roman" w:hAnsi="Open Sans" w:cs="Open Sans"/>
          <w:color w:val="auto"/>
        </w:rPr>
        <w:t xml:space="preserve"> Technology, a přenáší typologii a formát zastavárny/bazaru z jim typických vyčleněných lokalit do pasáže v centru města Brna. </w:t>
      </w:r>
    </w:p>
    <w:p w14:paraId="79CFD7FA" w14:textId="252E3485" w:rsidR="00D15BBC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965EF8">
        <w:rPr>
          <w:rFonts w:ascii="Open Sans" w:eastAsia="Times New Roman" w:hAnsi="Open Sans" w:cs="Open Sans"/>
          <w:color w:val="auto"/>
        </w:rPr>
        <w:t>Výstava vyobrazuje typologii okrajové ekonomiky vzniklou jako reakce na patologické jevy společnosti. Prostřednictvím kurátorského výběru artefaktů jsou kromě samotné typologie prezentovány příběhy původních majitelů a související subjektivní hodnoty daných věcí. </w:t>
      </w:r>
    </w:p>
    <w:p w14:paraId="78A19C92" w14:textId="77777777" w:rsidR="001100E9" w:rsidRPr="00D15BBC" w:rsidRDefault="001100E9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</w:p>
    <w:p w14:paraId="359D91A6" w14:textId="36059C6F" w:rsidR="00D15BBC" w:rsidRDefault="0068587C" w:rsidP="00D15BBC">
      <w:pPr>
        <w:spacing w:after="0" w:line="240" w:lineRule="auto"/>
        <w:jc w:val="center"/>
        <w:rPr>
          <w:rFonts w:ascii="Open Sans" w:eastAsia="Times New Roman" w:hAnsi="Open Sans" w:cs="Open Sans"/>
          <w:color w:val="auto"/>
        </w:rPr>
      </w:pPr>
      <w:r>
        <w:rPr>
          <w:rFonts w:ascii="Open Sans" w:eastAsia="Times New Roman" w:hAnsi="Open Sans" w:cs="Open Sans"/>
          <w:noProof/>
          <w:color w:val="auto"/>
        </w:rPr>
        <w:drawing>
          <wp:inline distT="0" distB="0" distL="0" distR="0" wp14:anchorId="53AC4887" wp14:editId="42FAD256">
            <wp:extent cx="2700000" cy="3602942"/>
            <wp:effectExtent l="5715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0000" cy="36029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04F228C" w14:textId="77777777" w:rsidR="001100E9" w:rsidRPr="00D15BBC" w:rsidRDefault="001100E9" w:rsidP="00D15BBC">
      <w:pPr>
        <w:spacing w:after="0" w:line="240" w:lineRule="auto"/>
        <w:jc w:val="center"/>
        <w:rPr>
          <w:rFonts w:ascii="Open Sans" w:eastAsia="Times New Roman" w:hAnsi="Open Sans" w:cs="Open Sans"/>
          <w:color w:val="auto"/>
        </w:rPr>
      </w:pPr>
    </w:p>
    <w:p w14:paraId="78E962A5" w14:textId="5F7FF933" w:rsidR="00D15BBC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D15BBC">
        <w:rPr>
          <w:rFonts w:ascii="Open Sans" w:eastAsia="Times New Roman" w:hAnsi="Open Sans" w:cs="Open Sans"/>
          <w:color w:val="auto"/>
        </w:rPr>
        <w:t>„</w:t>
      </w:r>
      <w:r w:rsidRPr="00D15BBC">
        <w:rPr>
          <w:rFonts w:ascii="Open Sans" w:eastAsia="Times New Roman" w:hAnsi="Open Sans" w:cs="Open Sans"/>
          <w:i/>
          <w:color w:val="auto"/>
        </w:rPr>
        <w:t>G</w:t>
      </w:r>
      <w:r w:rsidRPr="00965EF8">
        <w:rPr>
          <w:rFonts w:ascii="Open Sans" w:eastAsia="Times New Roman" w:hAnsi="Open Sans" w:cs="Open Sans"/>
          <w:i/>
          <w:color w:val="auto"/>
        </w:rPr>
        <w:t>alerie se promění v dočasnou zastavárnu s reálnými předměty vyprávějícími příběhy původních majitel</w:t>
      </w:r>
      <w:r w:rsidRPr="00D15BBC">
        <w:rPr>
          <w:rFonts w:ascii="Open Sans" w:eastAsia="Times New Roman" w:hAnsi="Open Sans" w:cs="Open Sans"/>
          <w:i/>
          <w:color w:val="auto"/>
        </w:rPr>
        <w:t>ů</w:t>
      </w:r>
      <w:r w:rsidRPr="00965EF8">
        <w:rPr>
          <w:rFonts w:ascii="Open Sans" w:eastAsia="Times New Roman" w:hAnsi="Open Sans" w:cs="Open Sans"/>
          <w:i/>
          <w:color w:val="auto"/>
        </w:rPr>
        <w:t>. Vedle teoretického úvodu o typologii</w:t>
      </w:r>
      <w:r w:rsidRPr="00D15BBC">
        <w:rPr>
          <w:rFonts w:ascii="Open Sans" w:eastAsia="Times New Roman" w:hAnsi="Open Sans" w:cs="Open Sans"/>
          <w:i/>
          <w:color w:val="auto"/>
        </w:rPr>
        <w:t xml:space="preserve"> zastaváren</w:t>
      </w:r>
      <w:r w:rsidRPr="00965EF8">
        <w:rPr>
          <w:rFonts w:ascii="Open Sans" w:eastAsia="Times New Roman" w:hAnsi="Open Sans" w:cs="Open Sans"/>
          <w:i/>
          <w:color w:val="auto"/>
        </w:rPr>
        <w:t>, jejím sociálním kontextu a etnografického vystavení “artefaktů” s doprovodnými popisy, se nabízí i velká míra interakce s veřejností a přesah projektu do sociokulturní scény</w:t>
      </w:r>
      <w:r w:rsidRPr="00D15BBC">
        <w:rPr>
          <w:rFonts w:ascii="Open Sans" w:eastAsia="Times New Roman" w:hAnsi="Open Sans" w:cs="Open Sans"/>
          <w:i/>
          <w:color w:val="auto"/>
        </w:rPr>
        <w:t>,“</w:t>
      </w:r>
      <w:r w:rsidRPr="00D15BBC">
        <w:rPr>
          <w:rFonts w:ascii="Open Sans" w:eastAsia="Times New Roman" w:hAnsi="Open Sans" w:cs="Open Sans"/>
          <w:color w:val="auto"/>
        </w:rPr>
        <w:t xml:space="preserve"> uvádí kurátorka výstavy Eva Truncová.</w:t>
      </w:r>
    </w:p>
    <w:p w14:paraId="4B87F77D" w14:textId="77777777" w:rsidR="001100E9" w:rsidRPr="00D15BBC" w:rsidRDefault="001100E9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</w:p>
    <w:p w14:paraId="2C7A4FE0" w14:textId="39D5A797" w:rsidR="00D15BBC" w:rsidRDefault="001100E9" w:rsidP="00D15BBC">
      <w:pPr>
        <w:spacing w:after="0" w:line="240" w:lineRule="auto"/>
        <w:jc w:val="center"/>
        <w:rPr>
          <w:rFonts w:ascii="Open Sans" w:eastAsia="Times New Roman" w:hAnsi="Open Sans" w:cs="Open Sans"/>
          <w:color w:val="auto"/>
          <w:sz w:val="24"/>
          <w:szCs w:val="24"/>
        </w:rPr>
      </w:pPr>
      <w:r>
        <w:rPr>
          <w:rFonts w:ascii="Open Sans" w:eastAsia="Open Sans" w:hAnsi="Open Sans" w:cs="Open Sans"/>
          <w:noProof/>
          <w:sz w:val="20"/>
        </w:rPr>
        <w:drawing>
          <wp:inline distT="0" distB="0" distL="0" distR="0" wp14:anchorId="375C1F8E" wp14:editId="4EF9C824">
            <wp:extent cx="3600000" cy="2703020"/>
            <wp:effectExtent l="0" t="0" r="635" b="21590"/>
            <wp:docPr id="129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3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48B15BC" w14:textId="77777777" w:rsidR="001100E9" w:rsidRDefault="001100E9" w:rsidP="00D15BBC">
      <w:pPr>
        <w:spacing w:after="0" w:line="240" w:lineRule="auto"/>
        <w:jc w:val="center"/>
        <w:rPr>
          <w:rFonts w:ascii="Open Sans" w:eastAsia="Times New Roman" w:hAnsi="Open Sans" w:cs="Open Sans"/>
          <w:color w:val="auto"/>
          <w:sz w:val="24"/>
          <w:szCs w:val="24"/>
        </w:rPr>
      </w:pPr>
    </w:p>
    <w:p w14:paraId="6B5708A2" w14:textId="2B9C7840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 w:rsidRPr="00D15BBC">
        <w:rPr>
          <w:rFonts w:ascii="Open Sans" w:eastAsia="Times New Roman" w:hAnsi="Open Sans" w:cs="Open Sans"/>
          <w:color w:val="auto"/>
        </w:rPr>
        <w:t xml:space="preserve">Výstavu doplní v neděli 23. 4. 2023 v 15:00 </w:t>
      </w:r>
      <w:r w:rsidRPr="00965EF8">
        <w:rPr>
          <w:rFonts w:ascii="Open Sans" w:eastAsia="Times New Roman" w:hAnsi="Open Sans" w:cs="Open Sans"/>
          <w:color w:val="auto"/>
        </w:rPr>
        <w:t xml:space="preserve">komentovaná procházka </w:t>
      </w:r>
      <w:r w:rsidRPr="00D15BBC">
        <w:rPr>
          <w:rFonts w:ascii="Open Sans" w:eastAsia="Times New Roman" w:hAnsi="Open Sans" w:cs="Open Sans"/>
          <w:color w:val="auto"/>
        </w:rPr>
        <w:t xml:space="preserve">s autorem Prokopem Matějem </w:t>
      </w:r>
      <w:r w:rsidRPr="00965EF8">
        <w:rPr>
          <w:rFonts w:ascii="Open Sans" w:eastAsia="Times New Roman" w:hAnsi="Open Sans" w:cs="Open Sans"/>
          <w:color w:val="auto"/>
        </w:rPr>
        <w:t xml:space="preserve">po současných i zaniklých brněnských bazarech a zastavárnách. Stručně bude představena jejich </w:t>
      </w:r>
      <w:r w:rsidRPr="00965EF8">
        <w:rPr>
          <w:rFonts w:ascii="Open Sans" w:eastAsia="Times New Roman" w:hAnsi="Open Sans" w:cs="Open Sans"/>
          <w:color w:val="auto"/>
        </w:rPr>
        <w:lastRenderedPageBreak/>
        <w:t xml:space="preserve">historie, typologie a stylizovaná estetika archivu kolektivní paměti, která je výsledkem </w:t>
      </w:r>
      <w:r w:rsidRPr="00965EF8">
        <w:rPr>
          <w:rFonts w:ascii="Open Sans" w:eastAsia="Times New Roman" w:hAnsi="Open Sans" w:cs="Open Sans"/>
          <w:i/>
          <w:iCs/>
          <w:color w:val="auto"/>
        </w:rPr>
        <w:t>kurátorů</w:t>
      </w:r>
      <w:r w:rsidRPr="00965EF8">
        <w:rPr>
          <w:rFonts w:ascii="Open Sans" w:eastAsia="Times New Roman" w:hAnsi="Open Sans" w:cs="Open Sans"/>
          <w:color w:val="auto"/>
        </w:rPr>
        <w:t xml:space="preserve"> jednotlivých sbírek.</w:t>
      </w:r>
      <w:r w:rsidRPr="00D15BBC">
        <w:rPr>
          <w:rFonts w:ascii="Open Sans" w:eastAsia="Times New Roman" w:hAnsi="Open Sans" w:cs="Open Sans"/>
          <w:color w:val="auto"/>
        </w:rPr>
        <w:t xml:space="preserve"> </w:t>
      </w:r>
    </w:p>
    <w:p w14:paraId="39308A6A" w14:textId="77777777" w:rsidR="00D15BBC" w:rsidRPr="00D15BBC" w:rsidRDefault="00D15BBC" w:rsidP="00D15BBC">
      <w:pPr>
        <w:spacing w:after="0" w:line="240" w:lineRule="auto"/>
        <w:jc w:val="center"/>
        <w:rPr>
          <w:rFonts w:ascii="Open Sans" w:eastAsia="Times New Roman" w:hAnsi="Open Sans" w:cs="Open Sans"/>
          <w:color w:val="auto"/>
          <w:sz w:val="24"/>
          <w:szCs w:val="24"/>
        </w:rPr>
      </w:pPr>
    </w:p>
    <w:p w14:paraId="7D5BC0B1" w14:textId="1306B251" w:rsidR="00D15BBC" w:rsidRPr="00965EF8" w:rsidRDefault="0068587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>
        <w:rPr>
          <w:rFonts w:ascii="Open Sans" w:eastAsia="Times New Roman" w:hAnsi="Open Sans" w:cs="Open Sans"/>
          <w:color w:val="auto"/>
        </w:rPr>
        <w:t>A</w:t>
      </w:r>
      <w:r w:rsidRPr="00965EF8">
        <w:rPr>
          <w:rFonts w:ascii="Open Sans" w:eastAsia="Times New Roman" w:hAnsi="Open Sans" w:cs="Open Sans"/>
          <w:color w:val="auto"/>
        </w:rPr>
        <w:t xml:space="preserve">rchitekt </w:t>
      </w:r>
      <w:r w:rsidR="00D15BBC" w:rsidRPr="00965EF8">
        <w:rPr>
          <w:rFonts w:ascii="Open Sans" w:eastAsia="Times New Roman" w:hAnsi="Open Sans" w:cs="Open Sans"/>
          <w:color w:val="auto"/>
        </w:rPr>
        <w:t>Prokop Matěj (*1992) vystudoval obor architektura a urbanismus na ČVUT v Praze a TU v</w:t>
      </w:r>
      <w:r w:rsidR="00D15BBC">
        <w:rPr>
          <w:rFonts w:ascii="Open Sans" w:eastAsia="Times New Roman" w:hAnsi="Open Sans" w:cs="Open Sans"/>
          <w:color w:val="auto"/>
        </w:rPr>
        <w:t> </w:t>
      </w:r>
      <w:r w:rsidR="00D15BBC" w:rsidRPr="00965EF8">
        <w:rPr>
          <w:rFonts w:ascii="Open Sans" w:eastAsia="Times New Roman" w:hAnsi="Open Sans" w:cs="Open Sans"/>
          <w:color w:val="auto"/>
        </w:rPr>
        <w:t>Delftu. Během studia a následně po jeho ukončení absolvoval několik architektonických stáží v</w:t>
      </w:r>
      <w:r w:rsidR="00D15BBC">
        <w:rPr>
          <w:rFonts w:ascii="Open Sans" w:eastAsia="Times New Roman" w:hAnsi="Open Sans" w:cs="Open Sans"/>
          <w:color w:val="auto"/>
        </w:rPr>
        <w:t> </w:t>
      </w:r>
      <w:r w:rsidR="00D15BBC" w:rsidRPr="00965EF8">
        <w:rPr>
          <w:rFonts w:ascii="Open Sans" w:eastAsia="Times New Roman" w:hAnsi="Open Sans" w:cs="Open Sans"/>
          <w:color w:val="auto"/>
        </w:rPr>
        <w:t xml:space="preserve">tuzemských i zahraničních ateliérech, mimo jiné ve studiu JRKVC (SK), </w:t>
      </w:r>
      <w:proofErr w:type="spellStart"/>
      <w:r w:rsidR="00D15BBC" w:rsidRPr="00965EF8">
        <w:rPr>
          <w:rFonts w:ascii="Open Sans" w:eastAsia="Times New Roman" w:hAnsi="Open Sans" w:cs="Open Sans"/>
          <w:color w:val="auto"/>
        </w:rPr>
        <w:t>Schenker</w:t>
      </w:r>
      <w:proofErr w:type="spellEnd"/>
      <w:r w:rsidR="00D15BBC" w:rsidRPr="00965EF8">
        <w:rPr>
          <w:rFonts w:ascii="Open Sans" w:eastAsia="Times New Roman" w:hAnsi="Open Sans" w:cs="Open Sans"/>
          <w:color w:val="auto"/>
        </w:rPr>
        <w:t xml:space="preserve"> </w:t>
      </w:r>
      <w:proofErr w:type="spellStart"/>
      <w:r w:rsidR="00D15BBC" w:rsidRPr="00965EF8">
        <w:rPr>
          <w:rFonts w:ascii="Open Sans" w:eastAsia="Times New Roman" w:hAnsi="Open Sans" w:cs="Open Sans"/>
          <w:color w:val="auto"/>
        </w:rPr>
        <w:t>Salvi</w:t>
      </w:r>
      <w:proofErr w:type="spellEnd"/>
      <w:r w:rsidR="00D15BBC" w:rsidRPr="00965EF8">
        <w:rPr>
          <w:rFonts w:ascii="Open Sans" w:eastAsia="Times New Roman" w:hAnsi="Open Sans" w:cs="Open Sans"/>
          <w:color w:val="auto"/>
        </w:rPr>
        <w:t xml:space="preserve"> Weber (AT), nebo brněnské </w:t>
      </w:r>
      <w:proofErr w:type="spellStart"/>
      <w:r w:rsidR="00D15BBC" w:rsidRPr="00965EF8">
        <w:rPr>
          <w:rFonts w:ascii="Open Sans" w:eastAsia="Times New Roman" w:hAnsi="Open Sans" w:cs="Open Sans"/>
          <w:color w:val="auto"/>
        </w:rPr>
        <w:t>Consequence</w:t>
      </w:r>
      <w:proofErr w:type="spellEnd"/>
      <w:r w:rsidR="00D15BBC" w:rsidRPr="00965EF8">
        <w:rPr>
          <w:rFonts w:ascii="Open Sans" w:eastAsia="Times New Roman" w:hAnsi="Open Sans" w:cs="Open Sans"/>
          <w:color w:val="auto"/>
        </w:rPr>
        <w:t xml:space="preserve"> forma (CZ).</w:t>
      </w:r>
    </w:p>
    <w:p w14:paraId="43FC5005" w14:textId="77777777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 w:rsidRPr="00965EF8">
        <w:rPr>
          <w:rFonts w:ascii="Open Sans" w:eastAsia="Times New Roman" w:hAnsi="Open Sans" w:cs="Open Sans"/>
          <w:color w:val="auto"/>
        </w:rPr>
        <w:t xml:space="preserve">Výstava </w:t>
      </w:r>
      <w:proofErr w:type="spellStart"/>
      <w:r w:rsidRPr="00965EF8">
        <w:rPr>
          <w:rFonts w:ascii="Open Sans" w:eastAsia="Times New Roman" w:hAnsi="Open Sans" w:cs="Open Sans"/>
          <w:color w:val="auto"/>
        </w:rPr>
        <w:t>Pawnshops</w:t>
      </w:r>
      <w:proofErr w:type="spellEnd"/>
      <w:r w:rsidRPr="00965EF8">
        <w:rPr>
          <w:rFonts w:ascii="Open Sans" w:eastAsia="Times New Roman" w:hAnsi="Open Sans" w:cs="Open Sans"/>
          <w:color w:val="auto"/>
        </w:rPr>
        <w:t xml:space="preserve"> navazuje na jeho ateliérovou práci na Technické univerzitě v Delftu (NL) a rozvíjí ji formátem interaktivní instalace ve vitrínové galerii v centru města Brna. </w:t>
      </w:r>
    </w:p>
    <w:p w14:paraId="4196A443" w14:textId="77777777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</w:p>
    <w:p w14:paraId="686476F9" w14:textId="5D85816C" w:rsidR="00D15BBC" w:rsidRPr="001100E9" w:rsidRDefault="00D15BBC" w:rsidP="00D15BBC">
      <w:pPr>
        <w:spacing w:after="0" w:line="240" w:lineRule="auto"/>
        <w:rPr>
          <w:rFonts w:ascii="Vafle VUT" w:eastAsia="Times New Roman" w:hAnsi="Vafle VUT" w:cs="Open Sans"/>
          <w:color w:val="auto"/>
        </w:rPr>
      </w:pPr>
      <w:r w:rsidRPr="00965EF8">
        <w:rPr>
          <w:rFonts w:ascii="Vafle VUT" w:eastAsia="Times New Roman" w:hAnsi="Vafle VUT" w:cs="Open Sans"/>
          <w:color w:val="auto"/>
        </w:rPr>
        <w:t xml:space="preserve">Prokop Matěj – </w:t>
      </w:r>
      <w:proofErr w:type="spellStart"/>
      <w:r w:rsidRPr="00965EF8">
        <w:rPr>
          <w:rFonts w:ascii="Vafle VUT" w:eastAsia="Times New Roman" w:hAnsi="Vafle VUT" w:cs="Open Sans"/>
          <w:color w:val="auto"/>
        </w:rPr>
        <w:t>Pawnshops</w:t>
      </w:r>
      <w:proofErr w:type="spellEnd"/>
      <w:r w:rsidRPr="00965EF8">
        <w:rPr>
          <w:rFonts w:ascii="Vafle VUT" w:eastAsia="Times New Roman" w:hAnsi="Vafle VUT" w:cs="Open Sans"/>
          <w:color w:val="auto"/>
        </w:rPr>
        <w:t>: Místa okrajové ekonomiky</w:t>
      </w:r>
    </w:p>
    <w:p w14:paraId="3100297C" w14:textId="77777777" w:rsidR="001100E9" w:rsidRDefault="001100E9" w:rsidP="001100E9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>
        <w:rPr>
          <w:rFonts w:ascii="Open Sans" w:eastAsia="Times New Roman" w:hAnsi="Open Sans" w:cs="Open Sans"/>
          <w:color w:val="auto"/>
        </w:rPr>
        <w:t xml:space="preserve">Galerie: </w:t>
      </w:r>
      <w:r w:rsidRPr="001100E9">
        <w:rPr>
          <w:rFonts w:ascii="Open Sans" w:eastAsia="Times New Roman" w:hAnsi="Open Sans" w:cs="Open Sans"/>
          <w:color w:val="auto"/>
        </w:rPr>
        <w:t xml:space="preserve">45 000 l: Objem pro angažovanou </w:t>
      </w:r>
      <w:proofErr w:type="spellStart"/>
      <w:r w:rsidRPr="001100E9">
        <w:rPr>
          <w:rFonts w:ascii="Open Sans" w:eastAsia="Times New Roman" w:hAnsi="Open Sans" w:cs="Open Sans"/>
          <w:color w:val="auto"/>
        </w:rPr>
        <w:t>architekturu</w:t>
      </w:r>
      <w:proofErr w:type="spellEnd"/>
    </w:p>
    <w:p w14:paraId="06FD38C2" w14:textId="33F3F4B9" w:rsidR="001100E9" w:rsidRPr="001100E9" w:rsidRDefault="001100E9" w:rsidP="001100E9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1100E9">
        <w:rPr>
          <w:rFonts w:ascii="Open Sans" w:eastAsia="Times New Roman" w:hAnsi="Open Sans" w:cs="Open Sans"/>
          <w:color w:val="auto"/>
        </w:rPr>
        <w:t>Výloha v pasáži z Šilingrova náměstí do Velkého Špalíčku</w:t>
      </w:r>
    </w:p>
    <w:p w14:paraId="66966ADA" w14:textId="77777777" w:rsidR="001100E9" w:rsidRPr="001100E9" w:rsidRDefault="001100E9" w:rsidP="001100E9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1100E9">
        <w:rPr>
          <w:rFonts w:ascii="Open Sans" w:eastAsia="Times New Roman" w:hAnsi="Open Sans" w:cs="Open Sans"/>
          <w:color w:val="auto"/>
        </w:rPr>
        <w:t>Dominikánská 342/6, 602 00 Brno</w:t>
      </w:r>
    </w:p>
    <w:p w14:paraId="35CC54A6" w14:textId="7AD82DA8" w:rsidR="001100E9" w:rsidRPr="00965EF8" w:rsidRDefault="00D15BBC" w:rsidP="001100E9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965EF8">
        <w:rPr>
          <w:rFonts w:ascii="Open Sans" w:eastAsia="Times New Roman" w:hAnsi="Open Sans" w:cs="Open Sans"/>
          <w:color w:val="auto"/>
        </w:rPr>
        <w:t>7. 3.–13. 5. 2023</w:t>
      </w:r>
      <w:r w:rsidR="001100E9">
        <w:rPr>
          <w:rFonts w:ascii="Open Sans" w:eastAsia="Times New Roman" w:hAnsi="Open Sans" w:cs="Open Sans"/>
          <w:color w:val="auto"/>
        </w:rPr>
        <w:t xml:space="preserve"> (</w:t>
      </w:r>
      <w:r w:rsidR="001100E9" w:rsidRPr="001100E9">
        <w:rPr>
          <w:rFonts w:ascii="Open Sans" w:eastAsia="Times New Roman" w:hAnsi="Open Sans" w:cs="Open Sans"/>
          <w:color w:val="auto"/>
        </w:rPr>
        <w:t>nonstop</w:t>
      </w:r>
      <w:r w:rsidR="001100E9">
        <w:rPr>
          <w:rFonts w:ascii="Open Sans" w:eastAsia="Times New Roman" w:hAnsi="Open Sans" w:cs="Open Sans"/>
          <w:color w:val="auto"/>
        </w:rPr>
        <w:t>)</w:t>
      </w:r>
    </w:p>
    <w:p w14:paraId="71352584" w14:textId="3404C37D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</w:p>
    <w:p w14:paraId="1EED2AD9" w14:textId="77777777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965EF8">
        <w:rPr>
          <w:rFonts w:ascii="Open Sans" w:eastAsia="Times New Roman" w:hAnsi="Open Sans" w:cs="Open Sans"/>
          <w:color w:val="auto"/>
        </w:rPr>
        <w:t>Vernisáž úterý 7. 3. v 18:00 </w:t>
      </w:r>
    </w:p>
    <w:p w14:paraId="4B7EC2A7" w14:textId="77777777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 w:rsidRPr="00965EF8">
        <w:rPr>
          <w:rFonts w:ascii="Open Sans" w:eastAsia="Times New Roman" w:hAnsi="Open Sans" w:cs="Open Sans"/>
          <w:color w:val="auto"/>
        </w:rPr>
        <w:t>Autor: Prokop Matěj </w:t>
      </w:r>
    </w:p>
    <w:p w14:paraId="58FE60E0" w14:textId="77777777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 w:rsidRPr="00965EF8">
        <w:rPr>
          <w:rFonts w:ascii="Open Sans" w:eastAsia="Times New Roman" w:hAnsi="Open Sans" w:cs="Open Sans"/>
          <w:color w:val="auto"/>
        </w:rPr>
        <w:t>Kurátorka/produkce: Eva Truncová </w:t>
      </w:r>
    </w:p>
    <w:p w14:paraId="31D753E8" w14:textId="36942D6B" w:rsidR="00D15BBC" w:rsidRPr="00965EF8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  <w:r w:rsidRPr="00965EF8">
        <w:rPr>
          <w:rFonts w:ascii="Open Sans" w:eastAsia="Times New Roman" w:hAnsi="Open Sans" w:cs="Open Sans"/>
          <w:color w:val="auto"/>
        </w:rPr>
        <w:t>Grafický design: Pavel Holomek</w:t>
      </w:r>
    </w:p>
    <w:p w14:paraId="2CBABFA7" w14:textId="5BE33541" w:rsidR="00D15BBC" w:rsidRDefault="00D15BBC" w:rsidP="00D15BBC">
      <w:pPr>
        <w:spacing w:after="0" w:line="240" w:lineRule="auto"/>
        <w:rPr>
          <w:rFonts w:ascii="Open Sans" w:eastAsia="Times New Roman" w:hAnsi="Open Sans" w:cs="Open Sans"/>
          <w:color w:val="auto"/>
        </w:rPr>
      </w:pPr>
      <w:r w:rsidRPr="00965EF8">
        <w:rPr>
          <w:rFonts w:ascii="Open Sans" w:eastAsia="Times New Roman" w:hAnsi="Open Sans" w:cs="Open Sans"/>
          <w:color w:val="auto"/>
        </w:rPr>
        <w:lastRenderedPageBreak/>
        <w:t>Poděkování: Jan Kristek, Adéla Šoborová, Fakulta architektury Vysokého učení technického v Brně, Pivovar Poupě</w:t>
      </w:r>
    </w:p>
    <w:p w14:paraId="367EF4DA" w14:textId="3F841ACC" w:rsidR="001100E9" w:rsidRDefault="001100E9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</w:p>
    <w:p w14:paraId="4A04E883" w14:textId="77777777" w:rsidR="001100E9" w:rsidRPr="00965EF8" w:rsidRDefault="001100E9" w:rsidP="00D15BBC">
      <w:pPr>
        <w:spacing w:after="0" w:line="240" w:lineRule="auto"/>
        <w:rPr>
          <w:rFonts w:ascii="Open Sans" w:eastAsia="Times New Roman" w:hAnsi="Open Sans" w:cs="Open Sans"/>
          <w:color w:val="auto"/>
          <w:sz w:val="24"/>
          <w:szCs w:val="24"/>
        </w:rPr>
      </w:pPr>
    </w:p>
    <w:p w14:paraId="744410DA" w14:textId="4C0B1A7D" w:rsidR="000214B8" w:rsidRPr="00D15BBC" w:rsidRDefault="000214B8" w:rsidP="001100E9">
      <w:pPr>
        <w:spacing w:after="156" w:line="300" w:lineRule="auto"/>
        <w:rPr>
          <w:rFonts w:ascii="Open Sans" w:hAnsi="Open Sans" w:cs="Open Sans"/>
        </w:rPr>
      </w:pPr>
    </w:p>
    <w:sectPr w:rsidR="000214B8" w:rsidRPr="00D15BBC" w:rsidSect="00D15BB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630" w:right="763" w:bottom="709" w:left="720" w:header="25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4DD71" w14:textId="77777777" w:rsidR="00000000" w:rsidRDefault="00E90745">
      <w:pPr>
        <w:spacing w:after="0" w:line="240" w:lineRule="auto"/>
      </w:pPr>
      <w:r>
        <w:separator/>
      </w:r>
    </w:p>
  </w:endnote>
  <w:endnote w:type="continuationSeparator" w:id="0">
    <w:p w14:paraId="487F18D5" w14:textId="77777777" w:rsidR="00000000" w:rsidRDefault="00E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CA36" w14:textId="6421C5BB" w:rsidR="001100E9" w:rsidRPr="001100E9" w:rsidRDefault="001100E9" w:rsidP="001100E9">
    <w:pPr>
      <w:spacing w:after="0" w:line="240" w:lineRule="auto"/>
      <w:jc w:val="center"/>
      <w:rPr>
        <w:rFonts w:ascii="Open Sans" w:hAnsi="Open Sans" w:cs="Open Sans"/>
        <w:sz w:val="16"/>
        <w:szCs w:val="16"/>
      </w:rPr>
    </w:pPr>
    <w:r w:rsidRPr="00965EF8">
      <w:rPr>
        <w:rFonts w:ascii="Open Sans" w:eastAsia="Times New Roman" w:hAnsi="Open Sans" w:cs="Open Sans"/>
        <w:color w:val="auto"/>
        <w:sz w:val="16"/>
        <w:szCs w:val="16"/>
      </w:rPr>
      <w:t>Výstava vzniká za finanční podpory Nadace české architektury</w:t>
    </w:r>
    <w:r w:rsidRPr="001100E9">
      <w:rPr>
        <w:rFonts w:ascii="Open Sans" w:eastAsia="Times New Roman" w:hAnsi="Open Sans" w:cs="Open Sans"/>
        <w:color w:val="auto"/>
        <w:sz w:val="16"/>
        <w:szCs w:val="16"/>
      </w:rPr>
      <w:t xml:space="preserve">, Ministerstva </w:t>
    </w:r>
    <w:r>
      <w:rPr>
        <w:rFonts w:ascii="Open Sans" w:eastAsia="Times New Roman" w:hAnsi="Open Sans" w:cs="Open Sans"/>
        <w:color w:val="auto"/>
        <w:sz w:val="16"/>
        <w:szCs w:val="16"/>
      </w:rPr>
      <w:t>k</w:t>
    </w:r>
    <w:r w:rsidRPr="001100E9">
      <w:rPr>
        <w:rFonts w:ascii="Open Sans" w:eastAsia="Times New Roman" w:hAnsi="Open Sans" w:cs="Open Sans"/>
        <w:color w:val="auto"/>
        <w:sz w:val="16"/>
        <w:szCs w:val="16"/>
      </w:rPr>
      <w:t>ultury a pod záštitou primátorky města Brna.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C42A" w14:textId="77777777" w:rsidR="00000000" w:rsidRDefault="00E90745">
      <w:pPr>
        <w:spacing w:after="0" w:line="240" w:lineRule="auto"/>
      </w:pPr>
      <w:r>
        <w:separator/>
      </w:r>
    </w:p>
  </w:footnote>
  <w:footnote w:type="continuationSeparator" w:id="0">
    <w:p w14:paraId="41B82815" w14:textId="77777777" w:rsidR="00000000" w:rsidRDefault="00E9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4970DC">
      <w:rPr>
        <w:rFonts w:ascii="Vafle VUT" w:eastAsia="Vafle VUT" w:hAnsi="Vafle VUT" w:cs="Vafle VUT"/>
        <w:sz w:val="96"/>
      </w:rPr>
      <w:t>TZ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2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214B8"/>
    <w:rsid w:val="001100E9"/>
    <w:rsid w:val="004970DC"/>
    <w:rsid w:val="0068587C"/>
    <w:rsid w:val="00D15BBC"/>
    <w:rsid w:val="00E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Props1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5E127-5AE1-4E5A-A8C7-5C4B9B496A08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bc5a6d-6835-4183-ae21-f954dc7101d0"/>
    <ds:schemaRef ds:uri="http://schemas.microsoft.com/office/2006/documentManagement/types"/>
    <ds:schemaRef ds:uri="d91059b1-7c17-40b4-8a95-6df1544130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3</cp:revision>
  <cp:lastPrinted>2023-03-06T15:32:00Z</cp:lastPrinted>
  <dcterms:created xsi:type="dcterms:W3CDTF">2023-03-06T15:01:00Z</dcterms:created>
  <dcterms:modified xsi:type="dcterms:W3CDTF">2023-03-06T15:37:00Z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